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:rsidTr="005053AB">
        <w:trPr>
          <w:jc w:val="center"/>
        </w:trPr>
        <w:tc>
          <w:tcPr>
            <w:tcW w:w="1024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:rsidR="005053AB" w:rsidRPr="00862CFC" w:rsidRDefault="001707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 – Julio</w:t>
            </w:r>
            <w:r w:rsidR="00DE26A7" w:rsidRPr="00DE26A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20</w:t>
            </w:r>
            <w:r w:rsidR="002E0218">
              <w:rPr>
                <w:rFonts w:ascii="Arial" w:hAnsi="Arial" w:cs="Arial"/>
                <w:color w:val="FF0000"/>
                <w:sz w:val="20"/>
                <w:szCs w:val="20"/>
              </w:rPr>
              <w:t>18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:rsidR="005053AB" w:rsidRPr="00862CFC" w:rsidRDefault="00AB7C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PROBABILIDAD Y ESTADISTICA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AB7C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74821">
              <w:rPr>
                <w:rFonts w:ascii="Arial" w:hAnsi="Arial" w:cs="Arial"/>
                <w:sz w:val="20"/>
                <w:szCs w:val="20"/>
                <w:lang w:val="en-US"/>
              </w:rPr>
              <w:t xml:space="preserve">ING. INFORMATICA, ING. SIST. COMP., ING. </w:t>
            </w:r>
            <w:r>
              <w:rPr>
                <w:rFonts w:ascii="Arial" w:hAnsi="Arial" w:cs="Arial"/>
                <w:sz w:val="20"/>
                <w:szCs w:val="20"/>
              </w:rPr>
              <w:t>BIOMEDICA e ING. TEC. DE LA INF. Y COMUNICAIONES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AB7C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AEF-1052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1707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HORAS TEORIA 3 HORAS PRACTICAS 2 CREDITOS: 5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170700" w:rsidRPr="00227DF1" w:rsidRDefault="00AB7C81" w:rsidP="00227DF1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Esta asignatura aporta al perfil del Ingeniero en las áreas referentes a la computación, comunicaciones y de Ingeniería Biomédica las competencias que le permitan entender, aplicar y desarrollar modelos matemáticos utilizando técnicas de probabilidad y estadística para el análisis de información y la toma de decisiones en las diferentes áreas de las ciencias computacionales.</w:t>
            </w:r>
            <w:r w:rsidR="00227DF1" w:rsidRPr="00227DF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053AB" w:rsidRDefault="00AB7C81" w:rsidP="00AB7C81">
            <w:pPr>
              <w:ind w:left="360"/>
              <w:jc w:val="both"/>
            </w:pPr>
            <w:r>
              <w:t>La asignatura se encuentra ubicada al principio de la carrera. Probabilidad y Estadística consiste en los conceptos básicos de la teoría de la probabilidad y la estadística descriptiva de datos agrupados y no agrupados. Se enseña como razonar de manera lógica la toma decisiones en presencia de incertidumbre y variación.</w:t>
            </w:r>
          </w:p>
          <w:p w:rsidR="00AB7C81" w:rsidRPr="00862CFC" w:rsidRDefault="00AB7C81" w:rsidP="00AB7C81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Probabilidad y Estadística provee los conocimientos básicos sobre conceptos de probabilidad y pruebas estadísticas para la asignatura de Simulación, para la asignatura de Investigación de operaciones los temas de estadística descriptiva y distribuciones de probabilidad.</w:t>
            </w:r>
          </w:p>
        </w:tc>
      </w:tr>
    </w:tbl>
    <w:p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70E72" w:rsidRPr="00862CFC" w:rsidRDefault="00070E72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2C6FCE" w:rsidRDefault="00170700" w:rsidP="004C1DCE">
            <w:pPr>
              <w:ind w:left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AB7C81">
              <w:t xml:space="preserve">La asignatura se encuentra dividida en cinco temas. Los dos primeros enfocados al estudio formal de la probabilidad y los tres siguientes a la estadística propiamente. </w:t>
            </w:r>
          </w:p>
          <w:p w:rsidR="005053AB" w:rsidRDefault="00070E72" w:rsidP="004C1DCE">
            <w:pPr>
              <w:ind w:left="132"/>
              <w:jc w:val="both"/>
            </w:pPr>
            <w:r w:rsidRPr="00227DF1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2C6FCE">
              <w:t>El estudiante utiliza los conocimientos adquiridos para poder mejorar la interpretación y aplicación de procesos estadísticos y probabilísticos que se presentan en ingeniería. Es importante que el estudiante valore las actividades que realiza, que desarrolle hábitos de estudio y de trabajo para que adquiera características tales como: la curiosidad, la puntualidad, el entusiasmo, el interés, la tenacidad, la flexibilidad y la autonomía.</w:t>
            </w:r>
          </w:p>
          <w:p w:rsidR="002C6FCE" w:rsidRPr="00862CFC" w:rsidRDefault="002C6FCE" w:rsidP="00AB7C81">
            <w:pPr>
              <w:ind w:left="13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4D61FA" w:rsidRPr="004D61FA" w:rsidRDefault="004D61FA" w:rsidP="004D61F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D61FA">
              <w:rPr>
                <w:rFonts w:ascii="Arial" w:hAnsi="Arial" w:cs="Arial"/>
                <w:sz w:val="21"/>
                <w:szCs w:val="21"/>
              </w:rPr>
              <w:t>Seleccionar modelos probabilísticos,</w:t>
            </w:r>
          </w:p>
          <w:p w:rsidR="004D61FA" w:rsidRPr="004D61FA" w:rsidRDefault="004D61FA" w:rsidP="004D61F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D61FA">
              <w:rPr>
                <w:rFonts w:ascii="Arial" w:hAnsi="Arial" w:cs="Arial"/>
                <w:sz w:val="21"/>
                <w:szCs w:val="21"/>
              </w:rPr>
              <w:t>aplicar cálculos de inferencia estadística</w:t>
            </w:r>
          </w:p>
          <w:p w:rsidR="004D61FA" w:rsidRPr="004D61FA" w:rsidRDefault="004D61FA" w:rsidP="004D61F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D61FA">
              <w:rPr>
                <w:rFonts w:ascii="Arial" w:hAnsi="Arial" w:cs="Arial"/>
                <w:sz w:val="21"/>
                <w:szCs w:val="21"/>
              </w:rPr>
              <w:t>sobre datos y desarrollar modelos para la</w:t>
            </w:r>
          </w:p>
          <w:p w:rsidR="004D61FA" w:rsidRPr="004D61FA" w:rsidRDefault="004D61FA" w:rsidP="004D61F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D61FA">
              <w:rPr>
                <w:rFonts w:ascii="Arial" w:hAnsi="Arial" w:cs="Arial"/>
                <w:sz w:val="21"/>
                <w:szCs w:val="21"/>
              </w:rPr>
              <w:t>toma de decisiones en sistemas con</w:t>
            </w:r>
          </w:p>
          <w:p w:rsidR="002C6FCE" w:rsidRPr="004D61FA" w:rsidRDefault="004D61FA" w:rsidP="004D61FA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D61FA">
              <w:rPr>
                <w:rFonts w:ascii="Arial" w:hAnsi="Arial" w:cs="Arial"/>
                <w:sz w:val="21"/>
                <w:szCs w:val="21"/>
              </w:rPr>
              <w:t>componentes aleatorios.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p w:rsidR="009D7A9F" w:rsidRPr="00862CFC" w:rsidRDefault="009D7A9F" w:rsidP="009D7A9F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328"/>
        <w:gridCol w:w="3147"/>
        <w:gridCol w:w="1985"/>
        <w:gridCol w:w="5771"/>
      </w:tblGrid>
      <w:tr w:rsidR="005053AB" w:rsidRPr="00862CFC" w:rsidTr="009D7A9F">
        <w:tc>
          <w:tcPr>
            <w:tcW w:w="1838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255" w:type="dxa"/>
          </w:tcPr>
          <w:p w:rsidR="005053AB" w:rsidRPr="00862CFC" w:rsidRDefault="004C1DC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47" w:type="dxa"/>
          </w:tcPr>
          <w:p w:rsidR="005053AB" w:rsidRPr="00862CFC" w:rsidRDefault="004C1DC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 xml:space="preserve">Fundamentos de la Teoría de Probabilidad. </w:t>
            </w:r>
          </w:p>
        </w:tc>
        <w:tc>
          <w:tcPr>
            <w:tcW w:w="198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</w:tcPr>
          <w:p w:rsidR="005053AB" w:rsidRPr="00862CFC" w:rsidRDefault="004C1DCE" w:rsidP="004D61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Utiliza los conceptos básicos de la teoría de la probabilidad para aplicarlos en la solución de problemas de ingeniería biomédica, computación y comunicaciones.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27"/>
        <w:gridCol w:w="2410"/>
        <w:gridCol w:w="2693"/>
        <w:gridCol w:w="2835"/>
        <w:gridCol w:w="1831"/>
      </w:tblGrid>
      <w:tr w:rsidR="005053AB" w:rsidRPr="00862CFC" w:rsidTr="009D7A9F">
        <w:tc>
          <w:tcPr>
            <w:tcW w:w="3227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410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831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2E0218" w:rsidRPr="00862CFC" w:rsidTr="009D7A9F">
        <w:tc>
          <w:tcPr>
            <w:tcW w:w="3227" w:type="dxa"/>
          </w:tcPr>
          <w:p w:rsidR="002E0218" w:rsidRDefault="002E0218" w:rsidP="002C6FCE">
            <w:pPr>
              <w:ind w:right="62"/>
            </w:pPr>
            <w:r>
              <w:t>Fundamentos de la Teoría de Probabilidad.</w:t>
            </w:r>
          </w:p>
          <w:p w:rsidR="002E0218" w:rsidRDefault="002E0218" w:rsidP="002C6FCE">
            <w:pPr>
              <w:ind w:right="62"/>
            </w:pPr>
            <w:r>
              <w:t>2.1 Técnicas de Conteo</w:t>
            </w:r>
          </w:p>
          <w:p w:rsidR="002E0218" w:rsidRDefault="002E0218" w:rsidP="002C6FCE">
            <w:pPr>
              <w:ind w:right="62"/>
            </w:pPr>
            <w:r>
              <w:t xml:space="preserve"> 2.1.1 Principio aditivo.</w:t>
            </w:r>
          </w:p>
          <w:p w:rsidR="002E0218" w:rsidRDefault="002E0218" w:rsidP="002C6FCE">
            <w:pPr>
              <w:ind w:right="62"/>
            </w:pPr>
            <w:r>
              <w:t xml:space="preserve"> 2.1.2 Principio multiplicativo. 2.1.3 Notación Factorial. </w:t>
            </w:r>
          </w:p>
          <w:p w:rsidR="002E0218" w:rsidRDefault="002E0218" w:rsidP="002C6FCE">
            <w:pPr>
              <w:ind w:right="62"/>
            </w:pPr>
            <w:r>
              <w:t xml:space="preserve">2.1.4 Permutaciones. </w:t>
            </w:r>
          </w:p>
          <w:p w:rsidR="002E0218" w:rsidRDefault="002E0218" w:rsidP="002C6FCE">
            <w:pPr>
              <w:ind w:right="62"/>
            </w:pPr>
            <w:r>
              <w:t>2.1.5 Combinaciones.</w:t>
            </w:r>
          </w:p>
          <w:p w:rsidR="002E0218" w:rsidRDefault="002E0218" w:rsidP="002C6FCE">
            <w:pPr>
              <w:ind w:right="62"/>
            </w:pPr>
            <w:r>
              <w:t xml:space="preserve"> 2.1.6 Diagrama de Árbol.</w:t>
            </w:r>
          </w:p>
          <w:p w:rsidR="002E0218" w:rsidRDefault="002E0218" w:rsidP="002C6FCE">
            <w:pPr>
              <w:ind w:right="62"/>
            </w:pPr>
            <w:r>
              <w:t xml:space="preserve"> 2.1.7 Teorema del Binomio.</w:t>
            </w:r>
          </w:p>
          <w:p w:rsidR="002E0218" w:rsidRDefault="002E0218" w:rsidP="002C6FCE">
            <w:pPr>
              <w:ind w:right="62"/>
            </w:pPr>
            <w:r>
              <w:t xml:space="preserve"> 2.2 Teoría elemental de probabilidad. </w:t>
            </w:r>
          </w:p>
          <w:p w:rsidR="002E0218" w:rsidRDefault="002E0218" w:rsidP="002C6FCE">
            <w:pPr>
              <w:ind w:right="62"/>
            </w:pPr>
            <w:r>
              <w:t xml:space="preserve">2.3 Probabilidad de Eventos: Definición de espacio </w:t>
            </w:r>
            <w:proofErr w:type="spellStart"/>
            <w:r>
              <w:t>muestral</w:t>
            </w:r>
            <w:proofErr w:type="spellEnd"/>
            <w:r>
              <w:t xml:space="preserve">, definición de evento, simbología, unión, intersección, diagramas de </w:t>
            </w:r>
            <w:proofErr w:type="spellStart"/>
            <w:r>
              <w:t>Venn</w:t>
            </w:r>
            <w:proofErr w:type="spellEnd"/>
            <w:r>
              <w:t>.</w:t>
            </w:r>
          </w:p>
          <w:p w:rsidR="002E0218" w:rsidRDefault="002E0218" w:rsidP="00574821">
            <w:pPr>
              <w:ind w:right="62"/>
            </w:pPr>
            <w:r>
              <w:t xml:space="preserve"> 2.4 Probabilidad con Técnicas </w:t>
            </w:r>
            <w:r>
              <w:lastRenderedPageBreak/>
              <w:t>de Conteo: Axiomas, Teoremas. 2.5 Probabilidad condicional: Dependiente, Independiente. 2.6 Ley multiplicativa.</w:t>
            </w:r>
          </w:p>
          <w:p w:rsidR="002E0218" w:rsidRPr="00862CFC" w:rsidRDefault="002E0218" w:rsidP="00574821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>
              <w:t xml:space="preserve">2.7 Eventos independientes: Regla de </w:t>
            </w:r>
            <w:proofErr w:type="spellStart"/>
            <w:r>
              <w:t>Bayes</w:t>
            </w:r>
            <w:proofErr w:type="spellEnd"/>
            <w:r>
              <w:t>.</w:t>
            </w:r>
          </w:p>
        </w:tc>
        <w:tc>
          <w:tcPr>
            <w:tcW w:w="2410" w:type="dxa"/>
          </w:tcPr>
          <w:p w:rsidR="002E0218" w:rsidRPr="008C2701" w:rsidRDefault="002E0218" w:rsidP="009D7A9F">
            <w:pPr>
              <w:rPr>
                <w:sz w:val="18"/>
                <w:szCs w:val="18"/>
              </w:rPr>
            </w:pPr>
            <w:r w:rsidRPr="008C2701">
              <w:rPr>
                <w:sz w:val="18"/>
                <w:szCs w:val="18"/>
              </w:rPr>
              <w:lastRenderedPageBreak/>
              <w:t>Buscar información y presentarla en grupos de trabajo sobre el desarrollo histórico de la probabilidad.</w:t>
            </w:r>
          </w:p>
          <w:p w:rsidR="002E0218" w:rsidRPr="008C2701" w:rsidRDefault="002E0218" w:rsidP="009D7A9F">
            <w:pPr>
              <w:rPr>
                <w:sz w:val="18"/>
                <w:szCs w:val="18"/>
              </w:rPr>
            </w:pPr>
            <w:r w:rsidRPr="008C2701">
              <w:rPr>
                <w:sz w:val="18"/>
                <w:szCs w:val="18"/>
              </w:rPr>
              <w:t xml:space="preserve"> </w:t>
            </w:r>
            <w:r w:rsidRPr="008C2701">
              <w:rPr>
                <w:sz w:val="18"/>
                <w:szCs w:val="18"/>
              </w:rPr>
              <w:sym w:font="Symbol" w:char="F0B7"/>
            </w:r>
            <w:r w:rsidRPr="008C2701">
              <w:rPr>
                <w:sz w:val="18"/>
                <w:szCs w:val="18"/>
              </w:rPr>
              <w:t xml:space="preserve"> Buscar en distintas fuentes los conceptos básicos de: espacio </w:t>
            </w:r>
            <w:proofErr w:type="spellStart"/>
            <w:r w:rsidRPr="008C2701">
              <w:rPr>
                <w:sz w:val="18"/>
                <w:szCs w:val="18"/>
              </w:rPr>
              <w:t>muestral</w:t>
            </w:r>
            <w:proofErr w:type="spellEnd"/>
            <w:r w:rsidRPr="008C2701">
              <w:rPr>
                <w:sz w:val="18"/>
                <w:szCs w:val="18"/>
              </w:rPr>
              <w:t xml:space="preserve">, evento, simbología, operaciones y diagramas de </w:t>
            </w:r>
            <w:proofErr w:type="spellStart"/>
            <w:r w:rsidRPr="008C2701">
              <w:rPr>
                <w:sz w:val="18"/>
                <w:szCs w:val="18"/>
              </w:rPr>
              <w:t>Venn</w:t>
            </w:r>
            <w:proofErr w:type="spellEnd"/>
            <w:r w:rsidRPr="008C2701">
              <w:rPr>
                <w:sz w:val="18"/>
                <w:szCs w:val="18"/>
              </w:rPr>
              <w:t>.</w:t>
            </w:r>
          </w:p>
          <w:p w:rsidR="002E0218" w:rsidRPr="008C2701" w:rsidRDefault="002E0218" w:rsidP="009D7A9F">
            <w:pPr>
              <w:rPr>
                <w:sz w:val="18"/>
                <w:szCs w:val="18"/>
              </w:rPr>
            </w:pPr>
            <w:r w:rsidRPr="008C2701">
              <w:rPr>
                <w:sz w:val="18"/>
                <w:szCs w:val="18"/>
              </w:rPr>
              <w:t xml:space="preserve"> </w:t>
            </w:r>
            <w:r w:rsidRPr="008C2701">
              <w:rPr>
                <w:sz w:val="18"/>
                <w:szCs w:val="18"/>
              </w:rPr>
              <w:sym w:font="Symbol" w:char="F0B7"/>
            </w:r>
            <w:r w:rsidRPr="008C2701">
              <w:rPr>
                <w:sz w:val="18"/>
                <w:szCs w:val="18"/>
              </w:rPr>
              <w:t xml:space="preserve"> Elaborar un resumen individual con la información encontrada.</w:t>
            </w:r>
          </w:p>
          <w:p w:rsidR="002E0218" w:rsidRPr="008C2701" w:rsidRDefault="002E0218" w:rsidP="009D7A9F">
            <w:pPr>
              <w:rPr>
                <w:sz w:val="18"/>
                <w:szCs w:val="18"/>
              </w:rPr>
            </w:pPr>
            <w:r w:rsidRPr="008C2701">
              <w:rPr>
                <w:sz w:val="18"/>
                <w:szCs w:val="18"/>
              </w:rPr>
              <w:sym w:font="Symbol" w:char="F0B7"/>
            </w:r>
            <w:r w:rsidRPr="008C2701">
              <w:rPr>
                <w:sz w:val="18"/>
                <w:szCs w:val="18"/>
              </w:rPr>
              <w:t xml:space="preserve"> Parafrasear individualmente los principales axiomas y teoremas para la solución de problemas de probabilidad con técnicas de conteo.</w:t>
            </w:r>
          </w:p>
          <w:p w:rsidR="002E0218" w:rsidRPr="008C2701" w:rsidRDefault="002E0218" w:rsidP="009D7A9F">
            <w:pPr>
              <w:rPr>
                <w:sz w:val="18"/>
                <w:szCs w:val="18"/>
              </w:rPr>
            </w:pPr>
            <w:r w:rsidRPr="008C2701">
              <w:rPr>
                <w:sz w:val="18"/>
                <w:szCs w:val="18"/>
              </w:rPr>
              <w:t xml:space="preserve"> </w:t>
            </w:r>
            <w:r w:rsidRPr="008C2701">
              <w:rPr>
                <w:sz w:val="18"/>
                <w:szCs w:val="18"/>
              </w:rPr>
              <w:sym w:font="Symbol" w:char="F0B7"/>
            </w:r>
            <w:r w:rsidRPr="008C2701">
              <w:rPr>
                <w:sz w:val="18"/>
                <w:szCs w:val="18"/>
              </w:rPr>
              <w:t xml:space="preserve"> Determinar las probabilidades de eventos simples y los espacios </w:t>
            </w:r>
            <w:proofErr w:type="spellStart"/>
            <w:r w:rsidRPr="008C2701">
              <w:rPr>
                <w:sz w:val="18"/>
                <w:szCs w:val="18"/>
              </w:rPr>
              <w:t>muestrales</w:t>
            </w:r>
            <w:proofErr w:type="spellEnd"/>
            <w:r w:rsidRPr="008C2701">
              <w:rPr>
                <w:sz w:val="18"/>
                <w:szCs w:val="18"/>
              </w:rPr>
              <w:t xml:space="preserve"> mediante juegos </w:t>
            </w:r>
            <w:r w:rsidRPr="008C2701">
              <w:rPr>
                <w:sz w:val="18"/>
                <w:szCs w:val="18"/>
              </w:rPr>
              <w:lastRenderedPageBreak/>
              <w:t xml:space="preserve">de azar en grupos de trabajo. </w:t>
            </w:r>
          </w:p>
          <w:p w:rsidR="002E0218" w:rsidRPr="008C2701" w:rsidRDefault="002E0218" w:rsidP="009D7A9F">
            <w:pPr>
              <w:rPr>
                <w:sz w:val="18"/>
                <w:szCs w:val="18"/>
              </w:rPr>
            </w:pPr>
            <w:r w:rsidRPr="008C2701">
              <w:rPr>
                <w:sz w:val="18"/>
                <w:szCs w:val="18"/>
              </w:rPr>
              <w:sym w:font="Symbol" w:char="F0B7"/>
            </w:r>
            <w:r w:rsidRPr="008C2701">
              <w:rPr>
                <w:sz w:val="18"/>
                <w:szCs w:val="18"/>
              </w:rPr>
              <w:t xml:space="preserve"> Resolver ejercicios y problemas en grupos de trabajo que impliquen el cálculo de la probabilidad utilizando técnicas de conteo.</w:t>
            </w:r>
          </w:p>
          <w:p w:rsidR="002E0218" w:rsidRPr="008C2701" w:rsidRDefault="002E0218" w:rsidP="009D7A9F">
            <w:pPr>
              <w:rPr>
                <w:sz w:val="18"/>
                <w:szCs w:val="18"/>
              </w:rPr>
            </w:pPr>
            <w:r w:rsidRPr="008C2701">
              <w:rPr>
                <w:sz w:val="18"/>
                <w:szCs w:val="18"/>
              </w:rPr>
              <w:t>Analizar el concepto de probabilidad condicional dependiente e independiente mediante la solución de problemas.</w:t>
            </w:r>
          </w:p>
          <w:p w:rsidR="002E0218" w:rsidRPr="008C2701" w:rsidRDefault="002E0218" w:rsidP="009D7A9F">
            <w:pPr>
              <w:rPr>
                <w:sz w:val="18"/>
                <w:szCs w:val="18"/>
              </w:rPr>
            </w:pPr>
            <w:r w:rsidRPr="008C2701">
              <w:rPr>
                <w:sz w:val="18"/>
                <w:szCs w:val="18"/>
              </w:rPr>
              <w:t xml:space="preserve"> </w:t>
            </w:r>
            <w:r w:rsidRPr="008C2701">
              <w:rPr>
                <w:sz w:val="18"/>
                <w:szCs w:val="18"/>
              </w:rPr>
              <w:sym w:font="Symbol" w:char="F0B7"/>
            </w:r>
            <w:r w:rsidRPr="008C2701">
              <w:rPr>
                <w:sz w:val="18"/>
                <w:szCs w:val="18"/>
              </w:rPr>
              <w:t xml:space="preserve"> Identificar la aplicación de la ley multiplicativa en la solución de problemas de cálculo de probabilidad en eventos mediante la construcción de ejemplos en grupos de trabajo.</w:t>
            </w:r>
          </w:p>
          <w:p w:rsidR="002E0218" w:rsidRPr="008C2701" w:rsidRDefault="002E0218" w:rsidP="009D7A9F">
            <w:pPr>
              <w:rPr>
                <w:sz w:val="18"/>
                <w:szCs w:val="18"/>
              </w:rPr>
            </w:pPr>
            <w:r w:rsidRPr="008C2701">
              <w:rPr>
                <w:sz w:val="18"/>
                <w:szCs w:val="18"/>
              </w:rPr>
              <w:t xml:space="preserve"> </w:t>
            </w:r>
            <w:r w:rsidRPr="008C2701">
              <w:rPr>
                <w:sz w:val="18"/>
                <w:szCs w:val="18"/>
              </w:rPr>
              <w:sym w:font="Symbol" w:char="F0B7"/>
            </w:r>
            <w:r w:rsidRPr="008C2701">
              <w:rPr>
                <w:sz w:val="18"/>
                <w:szCs w:val="18"/>
              </w:rPr>
              <w:t xml:space="preserve"> Construir en plenaria ejercicios que involucren el teorema de </w:t>
            </w:r>
            <w:proofErr w:type="spellStart"/>
            <w:r w:rsidRPr="008C2701">
              <w:rPr>
                <w:sz w:val="18"/>
                <w:szCs w:val="18"/>
              </w:rPr>
              <w:t>Bayes</w:t>
            </w:r>
            <w:proofErr w:type="spellEnd"/>
            <w:r w:rsidRPr="008C2701">
              <w:rPr>
                <w:sz w:val="18"/>
                <w:szCs w:val="18"/>
              </w:rPr>
              <w:t>, relacionados con el área de las ciencias computacionales.</w:t>
            </w:r>
          </w:p>
          <w:p w:rsidR="002E0218" w:rsidRPr="009D7A9F" w:rsidRDefault="002E0218" w:rsidP="009D7A9F">
            <w:pPr>
              <w:rPr>
                <w:rFonts w:ascii="Arial" w:hAnsi="Arial" w:cs="Arial"/>
                <w:sz w:val="18"/>
                <w:szCs w:val="18"/>
              </w:rPr>
            </w:pPr>
            <w:r w:rsidRPr="008C2701">
              <w:rPr>
                <w:sz w:val="18"/>
                <w:szCs w:val="18"/>
              </w:rPr>
              <w:t xml:space="preserve"> </w:t>
            </w:r>
            <w:r w:rsidRPr="008C2701">
              <w:rPr>
                <w:sz w:val="18"/>
                <w:szCs w:val="18"/>
              </w:rPr>
              <w:sym w:font="Symbol" w:char="F0B7"/>
            </w:r>
            <w:r w:rsidRPr="008C2701">
              <w:rPr>
                <w:sz w:val="18"/>
                <w:szCs w:val="18"/>
              </w:rPr>
              <w:t xml:space="preserve"> Utilizar </w:t>
            </w:r>
            <w:proofErr w:type="spellStart"/>
            <w:r w:rsidRPr="008C2701">
              <w:rPr>
                <w:sz w:val="18"/>
                <w:szCs w:val="18"/>
              </w:rPr>
              <w:t>TIC’s</w:t>
            </w:r>
            <w:proofErr w:type="spellEnd"/>
            <w:r w:rsidRPr="008C2701">
              <w:rPr>
                <w:sz w:val="18"/>
                <w:szCs w:val="18"/>
              </w:rPr>
              <w:t xml:space="preserve"> para resolver problemas sobre probabilidades.</w:t>
            </w:r>
          </w:p>
        </w:tc>
        <w:tc>
          <w:tcPr>
            <w:tcW w:w="2693" w:type="dxa"/>
          </w:tcPr>
          <w:p w:rsidR="002E0218" w:rsidRPr="009D7A9F" w:rsidRDefault="002E0218" w:rsidP="00A27F0E">
            <w:pPr>
              <w:ind w:right="63"/>
              <w:rPr>
                <w:rFonts w:ascii="Arial" w:hAnsi="Arial" w:cs="Arial"/>
                <w:sz w:val="20"/>
                <w:szCs w:val="20"/>
              </w:rPr>
            </w:pPr>
            <w:r w:rsidRPr="00E12720">
              <w:rPr>
                <w:sz w:val="18"/>
                <w:szCs w:val="18"/>
              </w:rPr>
              <w:lastRenderedPageBreak/>
              <w:t xml:space="preserve">El maestro:                                                                  Encargará a los alumnos que investiguen  una lista de los conceptos básicos relacionados con cada tema.                                                         Explicará problemas específicos del tema.                                                   Encargará una serie de problemas para que los alumnos los realicen </w:t>
            </w:r>
            <w:proofErr w:type="spellStart"/>
            <w:r w:rsidRPr="00E12720">
              <w:rPr>
                <w:sz w:val="18"/>
                <w:szCs w:val="18"/>
              </w:rPr>
              <w:t>extraclase</w:t>
            </w:r>
            <w:proofErr w:type="spellEnd"/>
            <w:r w:rsidRPr="00E12720">
              <w:rPr>
                <w:sz w:val="18"/>
                <w:szCs w:val="18"/>
              </w:rPr>
              <w:t xml:space="preserve"> para reforzamiento del tema.                                                                           Encargará que los alumnos resuelvan un </w:t>
            </w:r>
            <w:proofErr w:type="spellStart"/>
            <w:r w:rsidRPr="00E12720">
              <w:rPr>
                <w:sz w:val="18"/>
                <w:szCs w:val="18"/>
              </w:rPr>
              <w:t>problemario</w:t>
            </w:r>
            <w:proofErr w:type="spellEnd"/>
            <w:r w:rsidRPr="00E12720">
              <w:rPr>
                <w:sz w:val="18"/>
                <w:szCs w:val="18"/>
              </w:rPr>
              <w:t xml:space="preserve"> para </w:t>
            </w:r>
            <w:proofErr w:type="spellStart"/>
            <w:r w:rsidRPr="00E12720">
              <w:rPr>
                <w:sz w:val="18"/>
                <w:szCs w:val="18"/>
              </w:rPr>
              <w:t>retroalimentacion</w:t>
            </w:r>
            <w:proofErr w:type="spellEnd"/>
            <w:r w:rsidRPr="00E12720">
              <w:rPr>
                <w:sz w:val="18"/>
                <w:szCs w:val="18"/>
              </w:rPr>
              <w:t xml:space="preserve"> de los temas. </w:t>
            </w:r>
            <w:r w:rsidRPr="00E12720">
              <w:t xml:space="preserve">                                                       </w:t>
            </w:r>
            <w:r w:rsidRPr="00E12720">
              <w:rPr>
                <w:sz w:val="18"/>
                <w:szCs w:val="18"/>
              </w:rPr>
              <w:t>Aplicará un examen de unidad para evaluación de los alumnos.</w:t>
            </w:r>
            <w:r w:rsidRPr="00E12720">
              <w:t xml:space="preserve">     </w:t>
            </w:r>
          </w:p>
        </w:tc>
        <w:tc>
          <w:tcPr>
            <w:tcW w:w="2835" w:type="dxa"/>
          </w:tcPr>
          <w:p w:rsidR="002E0218" w:rsidRPr="009D7A9F" w:rsidRDefault="002E0218" w:rsidP="00A27F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720">
              <w:rPr>
                <w:sz w:val="18"/>
                <w:szCs w:val="18"/>
              </w:rPr>
              <w:t xml:space="preserve">Capacidad de análisis y síntesis.                                        Capacidad de organizar y planificar.                                     Conocimientos generales </w:t>
            </w:r>
            <w:proofErr w:type="spellStart"/>
            <w:r w:rsidRPr="00E12720">
              <w:rPr>
                <w:sz w:val="18"/>
                <w:szCs w:val="18"/>
              </w:rPr>
              <w:t>basicos</w:t>
            </w:r>
            <w:proofErr w:type="spellEnd"/>
            <w:r w:rsidRPr="00E12720">
              <w:rPr>
                <w:sz w:val="18"/>
                <w:szCs w:val="18"/>
              </w:rPr>
              <w:t xml:space="preserve">.                                                    Comunicación oral y escrita en su propia lengua.                                Habilidades </w:t>
            </w:r>
            <w:proofErr w:type="spellStart"/>
            <w:r w:rsidRPr="00E12720">
              <w:rPr>
                <w:sz w:val="18"/>
                <w:szCs w:val="18"/>
              </w:rPr>
              <w:t>basicas</w:t>
            </w:r>
            <w:proofErr w:type="spellEnd"/>
            <w:r w:rsidRPr="00E12720">
              <w:rPr>
                <w:sz w:val="18"/>
                <w:szCs w:val="18"/>
              </w:rPr>
              <w:t xml:space="preserve"> del </w:t>
            </w:r>
            <w:proofErr w:type="spellStart"/>
            <w:r w:rsidRPr="00E12720">
              <w:rPr>
                <w:sz w:val="18"/>
                <w:szCs w:val="18"/>
              </w:rPr>
              <w:t>manejode</w:t>
            </w:r>
            <w:proofErr w:type="spellEnd"/>
            <w:r w:rsidRPr="00E12720">
              <w:rPr>
                <w:sz w:val="18"/>
                <w:szCs w:val="18"/>
              </w:rPr>
              <w:t xml:space="preserve"> computadora.                              Habilidad de </w:t>
            </w:r>
            <w:proofErr w:type="spellStart"/>
            <w:r w:rsidRPr="00E12720">
              <w:rPr>
                <w:sz w:val="18"/>
                <w:szCs w:val="18"/>
              </w:rPr>
              <w:t>gestion</w:t>
            </w:r>
            <w:proofErr w:type="spellEnd"/>
            <w:r w:rsidRPr="00E12720">
              <w:rPr>
                <w:sz w:val="18"/>
                <w:szCs w:val="18"/>
              </w:rPr>
              <w:t xml:space="preserve"> de información.                                           </w:t>
            </w:r>
            <w:proofErr w:type="spellStart"/>
            <w:r w:rsidRPr="00E12720">
              <w:rPr>
                <w:sz w:val="18"/>
                <w:szCs w:val="18"/>
              </w:rPr>
              <w:t>Solucion</w:t>
            </w:r>
            <w:proofErr w:type="spellEnd"/>
            <w:r w:rsidRPr="00E12720">
              <w:rPr>
                <w:sz w:val="18"/>
                <w:szCs w:val="18"/>
              </w:rPr>
              <w:t xml:space="preserve"> de problemas.                                                                     Toma de decisiones.                                                             Capacidad crítica y autocrítica.                                                  Trabajo en equipo.</w:t>
            </w:r>
            <w:r w:rsidRPr="00E12720">
              <w:t xml:space="preserve">                                                           </w:t>
            </w:r>
            <w:r w:rsidRPr="00E12720">
              <w:rPr>
                <w:sz w:val="18"/>
                <w:szCs w:val="18"/>
              </w:rPr>
              <w:t xml:space="preserve">Habilidades </w:t>
            </w:r>
            <w:proofErr w:type="spellStart"/>
            <w:r w:rsidRPr="00E12720">
              <w:rPr>
                <w:sz w:val="18"/>
                <w:szCs w:val="18"/>
              </w:rPr>
              <w:t>intepersonales</w:t>
            </w:r>
            <w:proofErr w:type="spellEnd"/>
            <w:r w:rsidRPr="00E12720">
              <w:rPr>
                <w:sz w:val="18"/>
                <w:szCs w:val="18"/>
              </w:rPr>
              <w:t xml:space="preserve">.                                                         Capacidad de aplicar los  </w:t>
            </w:r>
            <w:proofErr w:type="spellStart"/>
            <w:r w:rsidRPr="00E12720">
              <w:rPr>
                <w:sz w:val="18"/>
                <w:szCs w:val="18"/>
              </w:rPr>
              <w:t>conicimientos</w:t>
            </w:r>
            <w:proofErr w:type="spellEnd"/>
            <w:r w:rsidRPr="00E12720">
              <w:rPr>
                <w:sz w:val="18"/>
                <w:szCs w:val="18"/>
              </w:rPr>
              <w:t xml:space="preserve"> a la práctica.              Habilidad para trabajar de forma </w:t>
            </w:r>
            <w:proofErr w:type="spellStart"/>
            <w:r w:rsidRPr="00E12720">
              <w:rPr>
                <w:sz w:val="18"/>
                <w:szCs w:val="18"/>
              </w:rPr>
              <w:t>autonoma</w:t>
            </w:r>
            <w:proofErr w:type="spellEnd"/>
            <w:r w:rsidRPr="00E12720">
              <w:rPr>
                <w:sz w:val="18"/>
                <w:szCs w:val="18"/>
              </w:rPr>
              <w:t>.                                 Búsqueda de logros.</w:t>
            </w:r>
          </w:p>
        </w:tc>
        <w:tc>
          <w:tcPr>
            <w:tcW w:w="1831" w:type="dxa"/>
          </w:tcPr>
          <w:p w:rsidR="002E0218" w:rsidRPr="00862CFC" w:rsidRDefault="002E0218" w:rsidP="009D7A9F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 w:cs="font294"/>
                <w:lang w:eastAsia="es-MX"/>
              </w:rPr>
              <w:t>20</w:t>
            </w:r>
          </w:p>
        </w:tc>
      </w:tr>
    </w:tbl>
    <w:p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:rsidTr="005053AB">
        <w:tc>
          <w:tcPr>
            <w:tcW w:w="6498" w:type="dxa"/>
          </w:tcPr>
          <w:p w:rsidR="005053AB" w:rsidRPr="00862CFC" w:rsidRDefault="00E63E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:rsidR="005053AB" w:rsidRPr="00862CFC" w:rsidRDefault="00E63E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5053AB" w:rsidRPr="00862CFC" w:rsidTr="005053AB">
        <w:tc>
          <w:tcPr>
            <w:tcW w:w="6498" w:type="dxa"/>
          </w:tcPr>
          <w:p w:rsidR="005053AB" w:rsidRPr="00ED5870" w:rsidRDefault="00ED5870" w:rsidP="00170700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D5870">
              <w:rPr>
                <w:sz w:val="20"/>
                <w:szCs w:val="20"/>
              </w:rPr>
              <w:t>Capacidad de análisis y síntesis</w:t>
            </w:r>
          </w:p>
        </w:tc>
        <w:tc>
          <w:tcPr>
            <w:tcW w:w="6498" w:type="dxa"/>
          </w:tcPr>
          <w:p w:rsidR="000300FF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DE26A7" w:rsidRPr="00862CFC" w:rsidTr="005053AB">
        <w:tc>
          <w:tcPr>
            <w:tcW w:w="6498" w:type="dxa"/>
          </w:tcPr>
          <w:p w:rsidR="00DE26A7" w:rsidRPr="00ED5870" w:rsidRDefault="00ED5870" w:rsidP="00170700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D5870">
              <w:rPr>
                <w:sz w:val="20"/>
                <w:szCs w:val="20"/>
              </w:rPr>
              <w:t>Solución de Problemas.</w:t>
            </w:r>
          </w:p>
        </w:tc>
        <w:tc>
          <w:tcPr>
            <w:tcW w:w="6498" w:type="dxa"/>
          </w:tcPr>
          <w:p w:rsidR="00DE26A7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DE26A7" w:rsidRPr="00862CFC" w:rsidTr="005053AB">
        <w:tc>
          <w:tcPr>
            <w:tcW w:w="6498" w:type="dxa"/>
          </w:tcPr>
          <w:p w:rsidR="00DE26A7" w:rsidRPr="00ED5870" w:rsidRDefault="00ED5870" w:rsidP="00227DF1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D5870">
              <w:rPr>
                <w:sz w:val="20"/>
                <w:szCs w:val="20"/>
              </w:rPr>
              <w:t>Habilidad para búsqueda de información.</w:t>
            </w:r>
          </w:p>
        </w:tc>
        <w:tc>
          <w:tcPr>
            <w:tcW w:w="6498" w:type="dxa"/>
          </w:tcPr>
          <w:p w:rsidR="00DE26A7" w:rsidRPr="00862CFC" w:rsidRDefault="00ED5870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0048A1" w:rsidRPr="00862CFC" w:rsidTr="005053AB">
        <w:tc>
          <w:tcPr>
            <w:tcW w:w="6498" w:type="dxa"/>
          </w:tcPr>
          <w:p w:rsidR="000048A1" w:rsidRPr="00ED5870" w:rsidRDefault="00ED5870" w:rsidP="00227DF1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D5870">
              <w:rPr>
                <w:sz w:val="20"/>
                <w:szCs w:val="20"/>
              </w:rPr>
              <w:t>Capacidad para trabajar en equipo.</w:t>
            </w:r>
          </w:p>
        </w:tc>
        <w:tc>
          <w:tcPr>
            <w:tcW w:w="6498" w:type="dxa"/>
          </w:tcPr>
          <w:p w:rsidR="000048A1" w:rsidRDefault="00ED5870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</w:tbl>
    <w:p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C2701" w:rsidRDefault="008C270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C2701" w:rsidRDefault="008C270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C2701" w:rsidRDefault="008C270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C2701" w:rsidRDefault="008C270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C2701" w:rsidRPr="00862CFC" w:rsidRDefault="008C270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27DF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Niveles de </w:t>
      </w:r>
      <w:proofErr w:type="gramStart"/>
      <w:r>
        <w:rPr>
          <w:rFonts w:ascii="Arial" w:hAnsi="Arial" w:cs="Arial"/>
          <w:sz w:val="20"/>
          <w:szCs w:val="20"/>
        </w:rPr>
        <w:t xml:space="preserve">desempeño </w:t>
      </w:r>
      <w:r w:rsidR="00206F1D"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:rsidTr="00206F1D"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:rsidTr="00206F1D">
        <w:tc>
          <w:tcPr>
            <w:tcW w:w="3249" w:type="dxa"/>
            <w:vMerge w:val="restart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206F1D" w:rsidRPr="00227DF1" w:rsidRDefault="00227DF1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lang w:eastAsia="es-MX"/>
              </w:rPr>
              <w:t>Cumple el total de las competencias</w:t>
            </w:r>
          </w:p>
        </w:tc>
        <w:tc>
          <w:tcPr>
            <w:tcW w:w="3249" w:type="dxa"/>
          </w:tcPr>
          <w:p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227DF1" w:rsidRPr="00227DF1" w:rsidRDefault="00227DF1" w:rsidP="0047230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todas las competencias aunque no con resultados correctos</w:t>
            </w:r>
          </w:p>
        </w:tc>
        <w:tc>
          <w:tcPr>
            <w:tcW w:w="3249" w:type="dxa"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227DF1" w:rsidRPr="00227DF1" w:rsidRDefault="00ED5870" w:rsidP="00472302">
            <w:pPr>
              <w:spacing w:line="259" w:lineRule="auto"/>
              <w:rPr>
                <w:rFonts w:cs="font294"/>
                <w:lang w:eastAsia="es-MX"/>
              </w:rPr>
            </w:pPr>
            <w:r>
              <w:rPr>
                <w:rFonts w:cs="font294"/>
                <w:lang w:eastAsia="es-MX"/>
              </w:rPr>
              <w:t>Cumple A,B,</w:t>
            </w:r>
            <w:r w:rsidR="00227DF1" w:rsidRPr="00227DF1">
              <w:rPr>
                <w:rFonts w:cs="font294"/>
                <w:lang w:eastAsia="es-MX"/>
              </w:rPr>
              <w:t xml:space="preserve"> C</w:t>
            </w:r>
            <w:r>
              <w:rPr>
                <w:rFonts w:cs="font294"/>
                <w:lang w:eastAsia="es-MX"/>
              </w:rPr>
              <w:t xml:space="preserve"> y  D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227DF1" w:rsidRPr="00227DF1" w:rsidRDefault="00ED5870" w:rsidP="00472302">
            <w:pPr>
              <w:spacing w:line="259" w:lineRule="auto"/>
              <w:rPr>
                <w:rFonts w:cs="font294"/>
                <w:lang w:eastAsia="es-MX"/>
              </w:rPr>
            </w:pPr>
            <w:r>
              <w:rPr>
                <w:rFonts w:cs="font294"/>
                <w:lang w:eastAsia="es-MX"/>
              </w:rPr>
              <w:t>Cumple A ,</w:t>
            </w:r>
            <w:r w:rsidR="00227DF1" w:rsidRPr="00227DF1">
              <w:rPr>
                <w:rFonts w:cs="font294"/>
                <w:lang w:eastAsia="es-MX"/>
              </w:rPr>
              <w:t>B</w:t>
            </w:r>
            <w:r>
              <w:rPr>
                <w:rFonts w:cs="font294"/>
                <w:lang w:eastAsia="es-MX"/>
              </w:rPr>
              <w:t xml:space="preserve"> y C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227DF1" w:rsidRPr="00862CFC" w:rsidTr="00206F1D"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227DF1" w:rsidRPr="00227DF1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szCs w:val="24"/>
                <w:lang w:eastAsia="es-MX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9D7A9F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Pr="00862CFC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27DF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Matriz de </w:t>
      </w:r>
      <w:proofErr w:type="gramStart"/>
      <w:r>
        <w:rPr>
          <w:rFonts w:ascii="Arial" w:hAnsi="Arial" w:cs="Arial"/>
          <w:sz w:val="20"/>
          <w:szCs w:val="20"/>
        </w:rPr>
        <w:t xml:space="preserve">Evaluación </w:t>
      </w:r>
      <w:r w:rsidR="00206F1D"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27038" w:rsidRPr="00106009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Consulta desde diferentes fuentes y resumen particos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106009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Cumplió con entrega de reporte en tiempo</w:t>
            </w:r>
          </w:p>
        </w:tc>
      </w:tr>
      <w:tr w:rsidR="00027038" w:rsidRPr="00862CFC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Ejercicios prácticos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870" w:rsidRDefault="00ED5870" w:rsidP="00ED58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027038" w:rsidRPr="00862CFC" w:rsidRDefault="00ED5870" w:rsidP="00ED58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862CFC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Realizó los ejercicios prácticos y los resolvió correctamente</w:t>
            </w:r>
          </w:p>
        </w:tc>
      </w:tr>
      <w:tr w:rsidR="00027038" w:rsidRPr="00862CFC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escrito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ED587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862CFC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Respondió correctamente los problemas del examen</w:t>
            </w:r>
          </w:p>
        </w:tc>
      </w:tr>
      <w:tr w:rsidR="00027038" w:rsidRPr="00106009" w:rsidTr="00546051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ED587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870" w:rsidRDefault="00ED587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ED5870" w:rsidRDefault="00ED587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106009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38" w:rsidRPr="00106009" w:rsidRDefault="00027038" w:rsidP="000270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206F1D" w:rsidRPr="00862CFC" w:rsidRDefault="00206F1D" w:rsidP="00027038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Nota: este apartado número 4 de la instrumentación didáctica para la formación y desarrollo de competencias profesionales se repite, de acuerdo al número de competencias específicas de los temas de asignatura.</w:t>
      </w:r>
    </w:p>
    <w:p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02703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106009" w:rsidP="00CF4E9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:rsidR="00106009" w:rsidRDefault="00ED5870" w:rsidP="00CF4E9C">
            <w:pPr>
              <w:spacing w:line="259" w:lineRule="auto"/>
            </w:pPr>
            <w:proofErr w:type="spellStart"/>
            <w:r>
              <w:t>Walpole</w:t>
            </w:r>
            <w:proofErr w:type="spellEnd"/>
            <w:r>
              <w:t xml:space="preserve">, R. E. (2012). Probabilidad y estadística para ingeniería y ciencias. (9ª. </w:t>
            </w:r>
            <w:proofErr w:type="spellStart"/>
            <w:r>
              <w:t>ed</w:t>
            </w:r>
            <w:proofErr w:type="spellEnd"/>
            <w:r>
              <w:t>) México: Pearson Educación.</w:t>
            </w:r>
          </w:p>
          <w:p w:rsidR="00ED5870" w:rsidRDefault="00ED5870" w:rsidP="00CF4E9C">
            <w:pPr>
              <w:spacing w:line="259" w:lineRule="auto"/>
            </w:pPr>
            <w:proofErr w:type="spellStart"/>
            <w:r>
              <w:t>Larson</w:t>
            </w:r>
            <w:proofErr w:type="spellEnd"/>
            <w:r>
              <w:t xml:space="preserve">, H. J. (1992). Introducción a la teoría de probabilidades e inferencia estadística. México: </w:t>
            </w:r>
            <w:proofErr w:type="spellStart"/>
            <w:r>
              <w:t>Limusa</w:t>
            </w:r>
            <w:proofErr w:type="spellEnd"/>
          </w:p>
          <w:p w:rsidR="00ED5870" w:rsidRPr="00862CFC" w:rsidRDefault="00ED5870" w:rsidP="00CF4E9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t xml:space="preserve">Anderson, D. R. (2008). Estadística para administración y economía. (10ª. ed.) México: </w:t>
            </w:r>
            <w:proofErr w:type="spellStart"/>
            <w:r>
              <w:t>Cengage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>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:rsidR="00106009" w:rsidRPr="00CF4E9C" w:rsidRDefault="00CF4E9C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F4E9C">
              <w:rPr>
                <w:rFonts w:ascii="Arial" w:hAnsi="Arial" w:cs="Arial"/>
                <w:sz w:val="20"/>
                <w:szCs w:val="20"/>
              </w:rPr>
              <w:t>Pintarrón</w:t>
            </w:r>
            <w:proofErr w:type="spellEnd"/>
            <w:r w:rsidRPr="00CF4E9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F4E9C">
              <w:rPr>
                <w:rFonts w:ascii="Arial" w:hAnsi="Arial" w:cs="Arial"/>
                <w:sz w:val="20"/>
                <w:szCs w:val="20"/>
              </w:rPr>
              <w:t>lap</w:t>
            </w:r>
            <w:proofErr w:type="spellEnd"/>
            <w:r w:rsidRPr="00CF4E9C">
              <w:rPr>
                <w:rFonts w:ascii="Arial" w:hAnsi="Arial" w:cs="Arial"/>
                <w:sz w:val="20"/>
                <w:szCs w:val="20"/>
              </w:rPr>
              <w:t xml:space="preserve"> top, internet</w:t>
            </w:r>
          </w:p>
        </w:tc>
      </w:tr>
    </w:tbl>
    <w:p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63"/>
        <w:gridCol w:w="764"/>
        <w:gridCol w:w="764"/>
        <w:gridCol w:w="764"/>
        <w:gridCol w:w="764"/>
        <w:gridCol w:w="794"/>
        <w:gridCol w:w="764"/>
        <w:gridCol w:w="764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C270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:rsidR="00862CFC" w:rsidRPr="00862CFC" w:rsidRDefault="008C270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:rsidR="00862CFC" w:rsidRPr="00862CFC" w:rsidRDefault="008C270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:rsidR="00862CFC" w:rsidRPr="00862CFC" w:rsidRDefault="008C270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8"/>
          <w:footerReference w:type="default" r:id="rId9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:rsidTr="00031DD0">
        <w:trPr>
          <w:jc w:val="right"/>
        </w:trPr>
        <w:tc>
          <w:tcPr>
            <w:tcW w:w="2229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862CFC" w:rsidRPr="00862CFC" w:rsidRDefault="00CF4E9C" w:rsidP="00E20EC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20EC6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de Enero 201</w:t>
            </w:r>
            <w:r w:rsidR="00E20EC6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</w:tbl>
    <w:p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:rsidR="00862CFC" w:rsidRPr="00862CFC" w:rsidRDefault="00CF4E9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M.A. y L. Carmen Olivia Guajardo Morales </w:t>
            </w:r>
          </w:p>
        </w:tc>
        <w:tc>
          <w:tcPr>
            <w:tcW w:w="850" w:type="dxa"/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:rsidR="00862CFC" w:rsidRPr="00862CFC" w:rsidRDefault="00CF4E9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Treviño Becerra</w:t>
            </w:r>
          </w:p>
        </w:tc>
      </w:tr>
    </w:tbl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0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de análisis y síntesis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crítica y autocrítica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Capacidad de aplicar los conocimientos en la práctica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</w:t>
      </w:r>
      <w:proofErr w:type="spellStart"/>
      <w:r w:rsidRPr="00604BA3">
        <w:rPr>
          <w:rFonts w:ascii="Arial" w:hAnsi="Arial" w:cs="Arial"/>
          <w:sz w:val="20"/>
        </w:rPr>
        <w:t>coevaluación</w:t>
      </w:r>
      <w:proofErr w:type="spellEnd"/>
      <w:r w:rsidRPr="00604BA3">
        <w:rPr>
          <w:rFonts w:ascii="Arial" w:hAnsi="Arial" w:cs="Arial"/>
          <w:sz w:val="20"/>
        </w:rPr>
        <w:t xml:space="preserve"> que completen y enriquezcan el proceso de evaluación y retroalimentación del profesor.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D87" w:rsidRDefault="001B6D87" w:rsidP="00862CFC">
      <w:pPr>
        <w:spacing w:after="0" w:line="240" w:lineRule="auto"/>
      </w:pPr>
      <w:r>
        <w:separator/>
      </w:r>
    </w:p>
  </w:endnote>
  <w:endnote w:type="continuationSeparator" w:id="0">
    <w:p w:rsidR="001B6D87" w:rsidRDefault="001B6D87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nt294"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13" w:rsidRPr="00862CFC" w:rsidRDefault="003A6013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D87" w:rsidRDefault="001B6D87" w:rsidP="00862CFC">
      <w:pPr>
        <w:spacing w:after="0" w:line="240" w:lineRule="auto"/>
      </w:pPr>
      <w:r>
        <w:separator/>
      </w:r>
    </w:p>
  </w:footnote>
  <w:footnote w:type="continuationSeparator" w:id="0">
    <w:p w:rsidR="001B6D87" w:rsidRDefault="001B6D87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3A6013" w:rsidRPr="00DE26A7" w:rsidTr="003A6013">
      <w:trPr>
        <w:cantSplit/>
        <w:trHeight w:val="145"/>
      </w:trPr>
      <w:tc>
        <w:tcPr>
          <w:tcW w:w="2105" w:type="dxa"/>
          <w:vMerge w:val="restart"/>
          <w:vAlign w:val="center"/>
        </w:tcPr>
        <w:p w:rsidR="003A6013" w:rsidRPr="00DE26A7" w:rsidRDefault="001B6D87" w:rsidP="003A6013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8473276" r:id="rId2"/>
            </w:pict>
          </w:r>
        </w:p>
      </w:tc>
      <w:tc>
        <w:tcPr>
          <w:tcW w:w="6470" w:type="dxa"/>
          <w:vMerge w:val="restart"/>
        </w:tcPr>
        <w:p w:rsidR="003A6013" w:rsidRPr="00DE26A7" w:rsidRDefault="003A6013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170700" w:rsidRDefault="003A6013" w:rsidP="003A6013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170700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170700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170700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3A6013" w:rsidRPr="00DE26A7" w:rsidTr="003A6013">
      <w:trPr>
        <w:cantSplit/>
        <w:trHeight w:val="311"/>
      </w:trPr>
      <w:tc>
        <w:tcPr>
          <w:tcW w:w="2105" w:type="dxa"/>
          <w:vMerge/>
        </w:tcPr>
        <w:p w:rsidR="003A6013" w:rsidRPr="00170700" w:rsidRDefault="003A6013" w:rsidP="003A6013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:rsidR="003A6013" w:rsidRPr="00170700" w:rsidRDefault="003A6013" w:rsidP="003A6013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DE26A7" w:rsidRDefault="003A6013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3A6013" w:rsidRPr="00DE26A7" w:rsidTr="003A6013">
      <w:trPr>
        <w:cantSplit/>
        <w:trHeight w:val="205"/>
      </w:trPr>
      <w:tc>
        <w:tcPr>
          <w:tcW w:w="2105" w:type="dxa"/>
          <w:vMerge/>
        </w:tcPr>
        <w:p w:rsidR="003A6013" w:rsidRPr="00DE26A7" w:rsidRDefault="003A6013" w:rsidP="003A6013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:rsidR="003A6013" w:rsidRPr="00DE26A7" w:rsidRDefault="003A6013" w:rsidP="003A6013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DE26A7" w:rsidRDefault="003A6013" w:rsidP="003A6013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447573">
            <w:rPr>
              <w:rFonts w:ascii="Arial" w:hAnsi="Arial" w:cs="Arial"/>
              <w:b/>
              <w:noProof/>
              <w:sz w:val="20"/>
              <w:szCs w:val="20"/>
            </w:rPr>
            <w:t>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447573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:rsidR="003A6013" w:rsidRPr="00862CFC" w:rsidRDefault="003A6013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13" w:rsidRPr="001F522E" w:rsidRDefault="003A6013" w:rsidP="003A6013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B0C32"/>
    <w:multiLevelType w:val="hybridMultilevel"/>
    <w:tmpl w:val="A7B2ED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EE01C1"/>
    <w:multiLevelType w:val="hybridMultilevel"/>
    <w:tmpl w:val="38FA4C3C"/>
    <w:lvl w:ilvl="0" w:tplc="D9EE05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AE48CB"/>
    <w:multiLevelType w:val="hybridMultilevel"/>
    <w:tmpl w:val="9A8A37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0E1476"/>
    <w:multiLevelType w:val="hybridMultilevel"/>
    <w:tmpl w:val="853CF72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4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11"/>
  </w:num>
  <w:num w:numId="9">
    <w:abstractNumId w:val="0"/>
  </w:num>
  <w:num w:numId="10">
    <w:abstractNumId w:val="8"/>
  </w:num>
  <w:num w:numId="11">
    <w:abstractNumId w:val="12"/>
  </w:num>
  <w:num w:numId="12">
    <w:abstractNumId w:val="2"/>
  </w:num>
  <w:num w:numId="13">
    <w:abstractNumId w:val="1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048A1"/>
    <w:rsid w:val="00015F7E"/>
    <w:rsid w:val="00016390"/>
    <w:rsid w:val="0001678B"/>
    <w:rsid w:val="00021A77"/>
    <w:rsid w:val="00027038"/>
    <w:rsid w:val="000300FF"/>
    <w:rsid w:val="00031DD0"/>
    <w:rsid w:val="00055465"/>
    <w:rsid w:val="000626FF"/>
    <w:rsid w:val="000631FB"/>
    <w:rsid w:val="00070E72"/>
    <w:rsid w:val="000B7A39"/>
    <w:rsid w:val="00106009"/>
    <w:rsid w:val="00160D9F"/>
    <w:rsid w:val="00170700"/>
    <w:rsid w:val="001B6D87"/>
    <w:rsid w:val="001D7549"/>
    <w:rsid w:val="002027EA"/>
    <w:rsid w:val="00206F1D"/>
    <w:rsid w:val="00227DF1"/>
    <w:rsid w:val="00233468"/>
    <w:rsid w:val="002676DB"/>
    <w:rsid w:val="00293FBE"/>
    <w:rsid w:val="002C6FCE"/>
    <w:rsid w:val="002E0218"/>
    <w:rsid w:val="00373659"/>
    <w:rsid w:val="003A6013"/>
    <w:rsid w:val="003B6648"/>
    <w:rsid w:val="00447573"/>
    <w:rsid w:val="00493A2D"/>
    <w:rsid w:val="004C1DCE"/>
    <w:rsid w:val="004D61FA"/>
    <w:rsid w:val="004F065B"/>
    <w:rsid w:val="005053AB"/>
    <w:rsid w:val="00536B92"/>
    <w:rsid w:val="00546051"/>
    <w:rsid w:val="005624BE"/>
    <w:rsid w:val="00574821"/>
    <w:rsid w:val="00590A65"/>
    <w:rsid w:val="00593663"/>
    <w:rsid w:val="00744965"/>
    <w:rsid w:val="007A22EC"/>
    <w:rsid w:val="007E49D1"/>
    <w:rsid w:val="00824F18"/>
    <w:rsid w:val="00862CFC"/>
    <w:rsid w:val="00865C4A"/>
    <w:rsid w:val="008C2701"/>
    <w:rsid w:val="008C7776"/>
    <w:rsid w:val="009905D5"/>
    <w:rsid w:val="00992C3B"/>
    <w:rsid w:val="009D7A9F"/>
    <w:rsid w:val="00A37058"/>
    <w:rsid w:val="00AB7C81"/>
    <w:rsid w:val="00AD3509"/>
    <w:rsid w:val="00AE14E7"/>
    <w:rsid w:val="00B23CAE"/>
    <w:rsid w:val="00B31A95"/>
    <w:rsid w:val="00B54B1C"/>
    <w:rsid w:val="00BA5082"/>
    <w:rsid w:val="00BB2F70"/>
    <w:rsid w:val="00BE7924"/>
    <w:rsid w:val="00C127DC"/>
    <w:rsid w:val="00C2069A"/>
    <w:rsid w:val="00CF4E9C"/>
    <w:rsid w:val="00D56F0A"/>
    <w:rsid w:val="00DB7692"/>
    <w:rsid w:val="00DC46A5"/>
    <w:rsid w:val="00DD7D08"/>
    <w:rsid w:val="00DE26A7"/>
    <w:rsid w:val="00E20EC6"/>
    <w:rsid w:val="00E63E4A"/>
    <w:rsid w:val="00E96429"/>
    <w:rsid w:val="00ED5870"/>
    <w:rsid w:val="00F34D3D"/>
    <w:rsid w:val="00FA66A5"/>
    <w:rsid w:val="00FF065E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70700"/>
    <w:pPr>
      <w:ind w:left="720"/>
      <w:contextualSpacing/>
    </w:pPr>
  </w:style>
  <w:style w:type="paragraph" w:customStyle="1" w:styleId="Contenidodelmarco">
    <w:name w:val="Contenido del marco"/>
    <w:basedOn w:val="Normal"/>
    <w:rsid w:val="00FA66A5"/>
    <w:pPr>
      <w:suppressAutoHyphens/>
      <w:spacing w:after="5" w:line="367" w:lineRule="auto"/>
      <w:ind w:left="718" w:hanging="10"/>
      <w:jc w:val="both"/>
    </w:pPr>
    <w:rPr>
      <w:rFonts w:ascii="Arial" w:eastAsia="Arial" w:hAnsi="Arial" w:cs="Arial"/>
      <w:color w:val="000000"/>
      <w:kern w:val="1"/>
      <w:sz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70700"/>
    <w:pPr>
      <w:ind w:left="720"/>
      <w:contextualSpacing/>
    </w:pPr>
  </w:style>
  <w:style w:type="paragraph" w:customStyle="1" w:styleId="Contenidodelmarco">
    <w:name w:val="Contenido del marco"/>
    <w:basedOn w:val="Normal"/>
    <w:rsid w:val="00FA66A5"/>
    <w:pPr>
      <w:suppressAutoHyphens/>
      <w:spacing w:after="5" w:line="367" w:lineRule="auto"/>
      <w:ind w:left="718" w:hanging="10"/>
      <w:jc w:val="both"/>
    </w:pPr>
    <w:rPr>
      <w:rFonts w:ascii="Arial" w:eastAsia="Arial" w:hAnsi="Arial" w:cs="Arial"/>
      <w:color w:val="000000"/>
      <w:kern w:val="1"/>
      <w:sz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3303</Words>
  <Characters>18168</Characters>
  <Application>Microsoft Office Word</Application>
  <DocSecurity>0</DocSecurity>
  <Lines>151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ITESRC</cp:lastModifiedBy>
  <cp:revision>4</cp:revision>
  <cp:lastPrinted>2018-01-26T18:00:00Z</cp:lastPrinted>
  <dcterms:created xsi:type="dcterms:W3CDTF">2018-01-19T17:17:00Z</dcterms:created>
  <dcterms:modified xsi:type="dcterms:W3CDTF">2018-01-26T18:01:00Z</dcterms:modified>
</cp:coreProperties>
</file>